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02" w:rsidRDefault="00F15D02" w:rsidP="00944F62">
      <w:pPr>
        <w:ind w:right="-57"/>
        <w:jc w:val="both"/>
        <w:rPr>
          <w:sz w:val="21"/>
          <w:szCs w:val="21"/>
        </w:rPr>
      </w:pPr>
    </w:p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5C028F" w:rsidRPr="005C028F">
        <w:rPr>
          <w:color w:val="000000"/>
          <w:sz w:val="24"/>
          <w:szCs w:val="24"/>
        </w:rPr>
        <w:t>13</w:t>
      </w:r>
      <w:r w:rsidR="009B38D3" w:rsidRPr="005C028F">
        <w:rPr>
          <w:color w:val="000000"/>
          <w:sz w:val="24"/>
          <w:szCs w:val="24"/>
        </w:rPr>
        <w:t>.0</w:t>
      </w:r>
      <w:r w:rsidR="005C028F" w:rsidRPr="005C028F">
        <w:rPr>
          <w:color w:val="000000"/>
          <w:sz w:val="24"/>
          <w:szCs w:val="24"/>
        </w:rPr>
        <w:t>5</w:t>
      </w:r>
      <w:r w:rsidR="00944F62" w:rsidRPr="005C028F">
        <w:rPr>
          <w:color w:val="000000"/>
          <w:sz w:val="24"/>
          <w:szCs w:val="24"/>
        </w:rPr>
        <w:t>.202</w:t>
      </w:r>
      <w:r w:rsidR="009B38D3" w:rsidRPr="005C028F">
        <w:rPr>
          <w:color w:val="000000"/>
          <w:sz w:val="24"/>
          <w:szCs w:val="24"/>
        </w:rPr>
        <w:t>1</w:t>
      </w:r>
      <w:r w:rsidR="003772E1" w:rsidRPr="005C028F">
        <w:rPr>
          <w:color w:val="000000"/>
          <w:sz w:val="24"/>
          <w:szCs w:val="24"/>
        </w:rPr>
        <w:t xml:space="preserve"> </w:t>
      </w:r>
      <w:r w:rsidR="003772E1" w:rsidRPr="00CE5756">
        <w:rPr>
          <w:color w:val="000000"/>
          <w:sz w:val="24"/>
          <w:szCs w:val="24"/>
        </w:rPr>
        <w:t xml:space="preserve">№ </w:t>
      </w:r>
      <w:r w:rsidR="0022561C">
        <w:rPr>
          <w:color w:val="000000"/>
          <w:sz w:val="24"/>
          <w:szCs w:val="24"/>
        </w:rPr>
        <w:t>39</w:t>
      </w:r>
      <w:bookmarkStart w:id="0" w:name="_GoBack"/>
      <w:bookmarkEnd w:id="0"/>
      <w:r w:rsidRPr="00CE5756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471FAA">
        <w:rPr>
          <w:b w:val="0"/>
          <w:spacing w:val="-1"/>
          <w:szCs w:val="24"/>
        </w:rPr>
        <w:t>державної служби категорії «Б</w:t>
      </w:r>
      <w:r w:rsidR="00100C29" w:rsidRPr="00100C29">
        <w:rPr>
          <w:b w:val="0"/>
          <w:spacing w:val="-1"/>
          <w:szCs w:val="24"/>
        </w:rPr>
        <w:t xml:space="preserve">» - </w:t>
      </w:r>
      <w:r w:rsidR="00471FAA">
        <w:rPr>
          <w:b w:val="0"/>
          <w:spacing w:val="-1"/>
          <w:szCs w:val="24"/>
        </w:rPr>
        <w:t xml:space="preserve">завідувача сектору інформаційних технологій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366"/>
        <w:gridCol w:w="611"/>
        <w:gridCol w:w="5926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471FAA" w:rsidRPr="00471FAA" w:rsidRDefault="00A95095" w:rsidP="0047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FAA">
              <w:rPr>
                <w:sz w:val="24"/>
                <w:szCs w:val="24"/>
              </w:rPr>
              <w:t xml:space="preserve">. </w:t>
            </w:r>
            <w:r w:rsidR="00471FAA" w:rsidRPr="00471FAA">
              <w:rPr>
                <w:sz w:val="24"/>
                <w:szCs w:val="24"/>
              </w:rPr>
              <w:t xml:space="preserve">Керівництво та організація роботи сектору: </w:t>
            </w:r>
          </w:p>
          <w:p w:rsidR="00471FAA" w:rsidRPr="00471FAA" w:rsidRDefault="00471FAA" w:rsidP="00471FAA">
            <w:pPr>
              <w:jc w:val="both"/>
              <w:rPr>
                <w:sz w:val="24"/>
                <w:szCs w:val="24"/>
              </w:rPr>
            </w:pPr>
            <w:r w:rsidRPr="00471FAA">
              <w:rPr>
                <w:sz w:val="24"/>
                <w:szCs w:val="24"/>
              </w:rPr>
              <w:t>- забезпечення виконання завдань і функцій, покладених на сектор;</w:t>
            </w:r>
          </w:p>
          <w:p w:rsidR="00471FAA" w:rsidRPr="00471FAA" w:rsidRDefault="00471FAA" w:rsidP="00471FAA">
            <w:pPr>
              <w:jc w:val="both"/>
              <w:rPr>
                <w:sz w:val="24"/>
                <w:szCs w:val="24"/>
              </w:rPr>
            </w:pPr>
            <w:r w:rsidRPr="00471FAA">
              <w:rPr>
                <w:sz w:val="24"/>
                <w:szCs w:val="24"/>
              </w:rPr>
              <w:t>- забезпечення виконання плану роботи сектору, плану роботи суду з питань, що стосуються роботи сектору;</w:t>
            </w:r>
          </w:p>
          <w:p w:rsidR="00471FAA" w:rsidRDefault="00471FAA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71FAA">
              <w:rPr>
                <w:sz w:val="24"/>
                <w:szCs w:val="24"/>
              </w:rPr>
              <w:t>- координація роботи та контроль за виконанням провідним спеціалістом з інформаційних технологій посадових обов’язків, правил внутрішнього службового розпорядку та правил поведінки працівника суду</w:t>
            </w:r>
            <w:r>
              <w:rPr>
                <w:sz w:val="24"/>
                <w:szCs w:val="24"/>
              </w:rPr>
              <w:t>.</w:t>
            </w:r>
          </w:p>
          <w:p w:rsidR="00471FAA" w:rsidRPr="00471FAA" w:rsidRDefault="00A95095" w:rsidP="00471FAA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>2</w:t>
            </w:r>
            <w:r w:rsidR="00471FAA">
              <w:t xml:space="preserve">. </w:t>
            </w:r>
            <w:r w:rsidR="00471FAA" w:rsidRPr="00471FAA">
              <w:rPr>
                <w:lang w:val="uk-UA"/>
              </w:rPr>
              <w:t>Розроблення та участь у розробленні:</w:t>
            </w:r>
          </w:p>
          <w:p w:rsidR="00471FAA" w:rsidRPr="00471FAA" w:rsidRDefault="00471FAA" w:rsidP="00471FAA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471FAA">
              <w:rPr>
                <w:lang w:val="uk-UA"/>
              </w:rPr>
              <w:t xml:space="preserve">- </w:t>
            </w:r>
            <w:proofErr w:type="spellStart"/>
            <w:r w:rsidRPr="00471FAA">
              <w:rPr>
                <w:lang w:val="uk-UA"/>
              </w:rPr>
              <w:t>проєктів</w:t>
            </w:r>
            <w:proofErr w:type="spellEnd"/>
            <w:r w:rsidRPr="00471FAA">
              <w:rPr>
                <w:lang w:val="uk-UA"/>
              </w:rPr>
              <w:t xml:space="preserve"> нормативно-правових актів, що стосуються питань інформаційно-технічного забезпечення суду;</w:t>
            </w:r>
          </w:p>
          <w:p w:rsidR="00471FAA" w:rsidRPr="00471FAA" w:rsidRDefault="00471FAA" w:rsidP="00471FAA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471FAA">
              <w:rPr>
                <w:lang w:val="uk-UA"/>
              </w:rPr>
              <w:t>- положення про сектор інформаційних технологій та посадових інструкцій працівників сектору;</w:t>
            </w:r>
          </w:p>
          <w:p w:rsidR="00471FAA" w:rsidRDefault="00471FAA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71FAA">
              <w:rPr>
                <w:sz w:val="24"/>
                <w:szCs w:val="24"/>
              </w:rPr>
              <w:t xml:space="preserve">- </w:t>
            </w:r>
            <w:proofErr w:type="spellStart"/>
            <w:r w:rsidRPr="00471FAA">
              <w:rPr>
                <w:sz w:val="24"/>
                <w:szCs w:val="24"/>
              </w:rPr>
              <w:t>проєктів</w:t>
            </w:r>
            <w:proofErr w:type="spellEnd"/>
            <w:r w:rsidRPr="00471FAA">
              <w:rPr>
                <w:sz w:val="24"/>
                <w:szCs w:val="24"/>
              </w:rPr>
              <w:t xml:space="preserve"> організаційно-розпорядчих документів керівництва суду з питань інформаційно-технічного забезпечення суду</w:t>
            </w:r>
            <w:r>
              <w:rPr>
                <w:sz w:val="24"/>
                <w:szCs w:val="24"/>
              </w:rPr>
              <w:t>.</w:t>
            </w:r>
          </w:p>
          <w:p w:rsidR="00471FAA" w:rsidRDefault="00A95095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FAA">
              <w:rPr>
                <w:sz w:val="24"/>
                <w:szCs w:val="24"/>
              </w:rPr>
              <w:t xml:space="preserve">. </w:t>
            </w:r>
            <w:r w:rsidR="00471FAA" w:rsidRPr="00471FAA">
              <w:rPr>
                <w:sz w:val="24"/>
                <w:szCs w:val="24"/>
              </w:rPr>
              <w:t>Забезпечення функціонування Єдиної судової інформаційно-телекомунікаційної системи (далі - ЄСІТС) (до початку її функціонування – автоматизованої системи документообігу суду)</w:t>
            </w:r>
            <w:r w:rsidR="00471FAA">
              <w:rPr>
                <w:sz w:val="24"/>
                <w:szCs w:val="24"/>
              </w:rPr>
              <w:t>.</w:t>
            </w:r>
          </w:p>
          <w:p w:rsidR="00471FAA" w:rsidRDefault="00A95095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1FAA">
              <w:rPr>
                <w:sz w:val="24"/>
                <w:szCs w:val="24"/>
              </w:rPr>
              <w:t xml:space="preserve">. </w:t>
            </w:r>
            <w:r w:rsidR="00471FAA" w:rsidRPr="00471FAA">
              <w:rPr>
                <w:sz w:val="24"/>
                <w:szCs w:val="24"/>
              </w:rPr>
              <w:t>Забезпечення роботи локальної мережі суду, засобів зв’язку суду та автоматизованих робочих місць суддів та працівників апарату суду</w:t>
            </w:r>
            <w:r w:rsidR="00471FAA">
              <w:rPr>
                <w:sz w:val="24"/>
                <w:szCs w:val="24"/>
              </w:rPr>
              <w:t>.</w:t>
            </w:r>
          </w:p>
          <w:p w:rsidR="00471FAA" w:rsidRDefault="00A95095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1FAA">
              <w:rPr>
                <w:sz w:val="24"/>
                <w:szCs w:val="24"/>
              </w:rPr>
              <w:t xml:space="preserve">. </w:t>
            </w:r>
            <w:r w:rsidR="00471FAA" w:rsidRPr="00471FAA">
              <w:rPr>
                <w:sz w:val="24"/>
                <w:szCs w:val="24"/>
              </w:rPr>
              <w:t>Забезпечення роботи офіційної електронної поштової скриньки суду</w:t>
            </w:r>
            <w:r w:rsidR="00471FAA">
              <w:rPr>
                <w:sz w:val="24"/>
                <w:szCs w:val="24"/>
              </w:rPr>
              <w:t>.</w:t>
            </w:r>
          </w:p>
          <w:p w:rsidR="00471FAA" w:rsidRDefault="00A95095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1FAA">
              <w:rPr>
                <w:sz w:val="24"/>
                <w:szCs w:val="24"/>
              </w:rPr>
              <w:t xml:space="preserve">. </w:t>
            </w:r>
            <w:r w:rsidR="00471FAA" w:rsidRPr="00471FAA">
              <w:rPr>
                <w:sz w:val="24"/>
                <w:szCs w:val="24"/>
              </w:rPr>
              <w:t>Організація введення в експлуатацію, встановлення та обслуговування комп’ютерної техніки, периферійного обладнання та оргтехніки в суді.</w:t>
            </w:r>
          </w:p>
          <w:p w:rsidR="00471FAA" w:rsidRDefault="00A95095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1FAA">
              <w:rPr>
                <w:sz w:val="24"/>
                <w:szCs w:val="24"/>
              </w:rPr>
              <w:t xml:space="preserve">. </w:t>
            </w:r>
            <w:r w:rsidR="00471FAA" w:rsidRPr="00471FAA">
              <w:rPr>
                <w:sz w:val="24"/>
                <w:szCs w:val="24"/>
              </w:rPr>
              <w:t>Проведення аналізу стану інформаційно-технічного забезпечення  суду</w:t>
            </w:r>
            <w:r w:rsidR="00471FAA">
              <w:rPr>
                <w:sz w:val="24"/>
                <w:szCs w:val="24"/>
              </w:rPr>
              <w:t>.</w:t>
            </w:r>
          </w:p>
          <w:p w:rsidR="00471FAA" w:rsidRDefault="00A95095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1FAA">
              <w:rPr>
                <w:sz w:val="24"/>
                <w:szCs w:val="24"/>
              </w:rPr>
              <w:t xml:space="preserve">. </w:t>
            </w:r>
            <w:r w:rsidR="00471FAA" w:rsidRPr="00471FAA">
              <w:rPr>
                <w:sz w:val="24"/>
                <w:szCs w:val="24"/>
              </w:rPr>
              <w:t>Забезпечення своєчасного обслуговування та ремонту комп’ютерної та оргтехніки суду</w:t>
            </w:r>
            <w:r w:rsidR="00471FAA">
              <w:rPr>
                <w:sz w:val="24"/>
                <w:szCs w:val="24"/>
              </w:rPr>
              <w:t>.</w:t>
            </w:r>
          </w:p>
          <w:p w:rsidR="00471FAA" w:rsidRDefault="00A95095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71FAA">
              <w:rPr>
                <w:sz w:val="24"/>
                <w:szCs w:val="24"/>
              </w:rPr>
              <w:t xml:space="preserve">. </w:t>
            </w:r>
            <w:r w:rsidR="00471FAA" w:rsidRPr="00471FAA">
              <w:rPr>
                <w:color w:val="000000"/>
                <w:sz w:val="24"/>
                <w:szCs w:val="24"/>
              </w:rPr>
              <w:t>Забезпечує використання кваліфікованих електронних довірчих послуг у суді</w:t>
            </w:r>
            <w:r w:rsidR="00471FAA">
              <w:rPr>
                <w:color w:val="000000"/>
                <w:sz w:val="24"/>
                <w:szCs w:val="24"/>
              </w:rPr>
              <w:t>.</w:t>
            </w:r>
          </w:p>
          <w:p w:rsidR="00471FAA" w:rsidRPr="00471FAA" w:rsidRDefault="00A95095" w:rsidP="00471FAA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71FAA">
              <w:rPr>
                <w:color w:val="000000"/>
                <w:sz w:val="24"/>
                <w:szCs w:val="24"/>
              </w:rPr>
              <w:t xml:space="preserve">. </w:t>
            </w:r>
            <w:r w:rsidR="00471FAA" w:rsidRPr="00471FAA">
              <w:rPr>
                <w:sz w:val="24"/>
                <w:szCs w:val="24"/>
              </w:rPr>
              <w:t>Надання практичної та методичної допомоги суддям та працівникам апарату суду з питань використання комп’ютерної техніки, оргтехніки, системного та прикладного програмного забезпечення</w:t>
            </w:r>
            <w:r w:rsidR="00471FAA">
              <w:rPr>
                <w:sz w:val="24"/>
                <w:szCs w:val="24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471FAA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>садовий оклад –</w:t>
            </w:r>
            <w:r w:rsidR="00471FAA">
              <w:rPr>
                <w:sz w:val="24"/>
                <w:szCs w:val="24"/>
              </w:rPr>
              <w:t xml:space="preserve"> 7950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FB5668" w:rsidRDefault="00731E3A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Безстроково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  <w:shd w:val="clear" w:color="auto" w:fill="FFFFFF"/>
              </w:rPr>
            </w:pPr>
            <w:r w:rsidRPr="0034495A">
              <w:rPr>
                <w:sz w:val="23"/>
                <w:szCs w:val="23"/>
              </w:rPr>
              <w:t>1) заява із зазначенням основних мотивів щодо зайняття посади за встановленою формою;</w:t>
            </w:r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>2) резюме за встановленою формою</w:t>
            </w:r>
            <w:bookmarkStart w:id="1" w:name="n1177"/>
            <w:bookmarkEnd w:id="1"/>
            <w:r w:rsidRPr="0034495A">
              <w:rPr>
                <w:sz w:val="23"/>
                <w:szCs w:val="23"/>
              </w:rPr>
              <w:t>;</w:t>
            </w:r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34495A">
                <w:rPr>
                  <w:rStyle w:val="ad"/>
                  <w:color w:val="auto"/>
                  <w:sz w:val="23"/>
                  <w:szCs w:val="23"/>
                  <w:u w:val="none"/>
                </w:rPr>
                <w:t>третьою</w:t>
              </w:r>
            </w:hyperlink>
            <w:r w:rsidRPr="0034495A">
              <w:rPr>
                <w:sz w:val="23"/>
                <w:szCs w:val="23"/>
              </w:rPr>
              <w:t> або </w:t>
            </w:r>
            <w:hyperlink r:id="rId6" w:anchor="n14" w:tgtFrame="_blank" w:history="1">
              <w:r w:rsidRPr="0034495A">
                <w:rPr>
                  <w:rStyle w:val="ad"/>
                  <w:color w:val="auto"/>
                  <w:sz w:val="23"/>
                  <w:szCs w:val="23"/>
                  <w:u w:val="none"/>
                </w:rPr>
                <w:t>четвертою</w:t>
              </w:r>
            </w:hyperlink>
            <w:r w:rsidR="009430D1">
              <w:rPr>
                <w:sz w:val="23"/>
                <w:szCs w:val="23"/>
              </w:rPr>
              <w:t> статті 1 Закону України «Про очищення влади»</w:t>
            </w:r>
            <w:r w:rsidRPr="0034495A">
              <w:rPr>
                <w:sz w:val="23"/>
                <w:szCs w:val="23"/>
              </w:rPr>
              <w:t>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5C028F" w:rsidRPr="0034495A" w:rsidRDefault="005C028F" w:rsidP="005C028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left="127" w:right="125"/>
              <w:jc w:val="both"/>
              <w:rPr>
                <w:sz w:val="23"/>
                <w:szCs w:val="23"/>
              </w:rPr>
            </w:pPr>
            <w:r w:rsidRPr="0034495A">
              <w:rPr>
                <w:sz w:val="23"/>
                <w:szCs w:val="23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4495A">
              <w:rPr>
                <w:sz w:val="23"/>
                <w:szCs w:val="23"/>
              </w:rPr>
              <w:t>компетентностей</w:t>
            </w:r>
            <w:proofErr w:type="spellEnd"/>
            <w:r w:rsidRPr="0034495A">
              <w:rPr>
                <w:sz w:val="23"/>
                <w:szCs w:val="23"/>
              </w:rPr>
              <w:t>, репутації (характеристики, рекомендації, наукові публікації тощо).</w:t>
            </w:r>
            <w:bookmarkStart w:id="2" w:name="n1182"/>
            <w:bookmarkEnd w:id="2"/>
          </w:p>
          <w:p w:rsidR="005C028F" w:rsidRPr="0034495A" w:rsidRDefault="005C028F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r w:rsidRPr="0034495A">
              <w:rPr>
                <w:rFonts w:ascii="Roboto Condensed Light" w:hAnsi="Roboto Condensed Light"/>
                <w:sz w:val="23"/>
                <w:szCs w:val="23"/>
              </w:rPr>
              <w:t>Додатково звертаємо увагу, що відповідно до частини другої статті 19 Закону України «Про державну службу» на державну службу не може вступити особа, яка: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3" w:name="n281"/>
            <w:bookmarkStart w:id="4" w:name="n282"/>
            <w:bookmarkEnd w:id="3"/>
            <w:bookmarkEnd w:id="4"/>
            <w:r>
              <w:rPr>
                <w:rFonts w:ascii="Roboto Condensed Light" w:hAnsi="Roboto Condensed Light"/>
                <w:sz w:val="23"/>
                <w:szCs w:val="23"/>
              </w:rPr>
              <w:t>1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в установленому законом порядку визнана недієздатною або дієздатність якої обмежена;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5" w:name="n283"/>
            <w:bookmarkEnd w:id="5"/>
            <w:r>
              <w:rPr>
                <w:rFonts w:ascii="Roboto Condensed Light" w:hAnsi="Roboto Condensed Light"/>
                <w:sz w:val="23"/>
                <w:szCs w:val="23"/>
              </w:rPr>
              <w:t>2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має судимість за вчинення умисного злочину, якщо така судимість не погашена або не знята в установленому законом порядку;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6" w:name="n284"/>
            <w:bookmarkEnd w:id="6"/>
            <w:r>
              <w:rPr>
                <w:rFonts w:ascii="Roboto Condensed Light" w:hAnsi="Roboto Condensed Light"/>
                <w:sz w:val="23"/>
                <w:szCs w:val="23"/>
              </w:rPr>
              <w:t>3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відповідно до рішення суду позбавлена права займатися діяльністю, пов’язаною з виконанням функцій держави, або займати відповідні посади;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7" w:name="n285"/>
            <w:bookmarkEnd w:id="7"/>
            <w:r>
              <w:rPr>
                <w:rFonts w:ascii="Roboto Condensed Light" w:hAnsi="Roboto Condensed Light"/>
                <w:sz w:val="23"/>
                <w:szCs w:val="23"/>
              </w:rPr>
              <w:t>4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піддавалася адміністративному стягненню за правопорушення, пов’язане з корупцією, - протягом трьох років з дня набрання відповідним рішенням суду законної сили;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8" w:name="n1591"/>
            <w:bookmarkStart w:id="9" w:name="n286"/>
            <w:bookmarkEnd w:id="8"/>
            <w:bookmarkEnd w:id="9"/>
            <w:r>
              <w:rPr>
                <w:rFonts w:ascii="Roboto Condensed Light" w:hAnsi="Roboto Condensed Light"/>
                <w:sz w:val="23"/>
                <w:szCs w:val="23"/>
              </w:rPr>
              <w:t>5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має громадянство іншої держави;</w:t>
            </w:r>
          </w:p>
          <w:p w:rsidR="005C028F" w:rsidRPr="0034495A" w:rsidRDefault="009430D1" w:rsidP="005C028F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10" w:name="n287"/>
            <w:bookmarkEnd w:id="10"/>
            <w:r>
              <w:rPr>
                <w:rFonts w:ascii="Roboto Condensed Light" w:hAnsi="Roboto Condensed Light"/>
                <w:sz w:val="23"/>
                <w:szCs w:val="23"/>
              </w:rPr>
              <w:t>6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>) не пройшла спеціальну перевірку або не надала згоду на її проведення;</w:t>
            </w:r>
          </w:p>
          <w:p w:rsidR="005C028F" w:rsidRPr="0034495A" w:rsidRDefault="009430D1" w:rsidP="005C028F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bookmarkStart w:id="11" w:name="n288"/>
            <w:bookmarkEnd w:id="11"/>
            <w:r>
              <w:rPr>
                <w:rFonts w:ascii="Roboto Condensed Light" w:hAnsi="Roboto Condensed Light"/>
                <w:sz w:val="23"/>
                <w:szCs w:val="23"/>
              </w:rPr>
              <w:t>7</w:t>
            </w:r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 xml:space="preserve">) підпадає під заборону, встановлену </w:t>
            </w:r>
            <w:hyperlink r:id="rId7" w:tgtFrame="_blank" w:history="1">
              <w:r w:rsidR="005C028F" w:rsidRPr="0034495A">
                <w:rPr>
                  <w:rStyle w:val="ad"/>
                  <w:rFonts w:ascii="Roboto Condensed Light" w:hAnsi="Roboto Condensed Light"/>
                  <w:color w:val="auto"/>
                  <w:sz w:val="23"/>
                  <w:szCs w:val="23"/>
                  <w:u w:val="none"/>
                </w:rPr>
                <w:t>Законом України</w:t>
              </w:r>
            </w:hyperlink>
            <w:r w:rsidR="005C028F" w:rsidRPr="0034495A">
              <w:rPr>
                <w:rFonts w:ascii="Roboto Condensed Light" w:hAnsi="Roboto Condensed Light"/>
                <w:sz w:val="23"/>
                <w:szCs w:val="23"/>
              </w:rPr>
              <w:t xml:space="preserve"> «Про очищення влади».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хв </w:t>
            </w:r>
            <w:r w:rsidR="00471FAA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64B7">
              <w:rPr>
                <w:b/>
                <w:color w:val="000000" w:themeColor="text1"/>
                <w:sz w:val="24"/>
                <w:szCs w:val="24"/>
              </w:rPr>
              <w:t>травня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916890" w:rsidRPr="009430D1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</w:t>
            </w:r>
            <w:r w:rsidR="00FB5668">
              <w:rPr>
                <w:color w:val="000000"/>
                <w:sz w:val="24"/>
                <w:szCs w:val="24"/>
              </w:rPr>
              <w:t>з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471FAA">
              <w:rPr>
                <w:color w:val="000000"/>
                <w:sz w:val="24"/>
                <w:szCs w:val="24"/>
              </w:rPr>
              <w:t>20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0B64B7">
              <w:rPr>
                <w:color w:val="000000"/>
                <w:sz w:val="24"/>
                <w:szCs w:val="24"/>
              </w:rPr>
              <w:t>травня</w:t>
            </w:r>
            <w:r w:rsidR="00F1537F">
              <w:rPr>
                <w:color w:val="000000"/>
                <w:sz w:val="24"/>
                <w:szCs w:val="24"/>
              </w:rPr>
              <w:t xml:space="preserve"> 202</w:t>
            </w:r>
            <w:r w:rsidR="009B38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7E159F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916890" w:rsidRDefault="00FC1AB8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Мозгова Марина Василівна</w:t>
            </w: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60-82-75, </w:t>
            </w:r>
            <w:r w:rsidR="00FC1AB8">
              <w:rPr>
                <w:rFonts w:ascii="Times New Roman" w:hAnsi="Times New Roman"/>
                <w:color w:val="000000"/>
                <w:sz w:val="24"/>
                <w:szCs w:val="24"/>
              </w:rPr>
              <w:t>60-82-76, 099 958 25 17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5C028F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Ступінь вищої освіти не</w:t>
            </w:r>
            <w:r w:rsidRPr="00100A55">
              <w:rPr>
                <w:sz w:val="23"/>
                <w:szCs w:val="23"/>
              </w:rPr>
              <w:t xml:space="preserve"> нижче ступеня </w:t>
            </w:r>
            <w:r>
              <w:rPr>
                <w:sz w:val="23"/>
                <w:szCs w:val="23"/>
              </w:rPr>
              <w:t>магістра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5C028F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C537FD">
              <w:rPr>
                <w:sz w:val="24"/>
                <w:szCs w:val="24"/>
                <w:shd w:val="clear" w:color="auto" w:fill="FFFFFF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5C028F" w:rsidRDefault="005C028F" w:rsidP="005C028F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Знання операці</w:t>
            </w:r>
            <w:r w:rsidRPr="0041494D">
              <w:rPr>
                <w:sz w:val="23"/>
                <w:szCs w:val="23"/>
              </w:rPr>
              <w:t xml:space="preserve">йних систем </w:t>
            </w:r>
            <w:r>
              <w:rPr>
                <w:sz w:val="23"/>
                <w:szCs w:val="23"/>
                <w:lang w:val="en-US"/>
              </w:rPr>
              <w:t>Windows</w:t>
            </w:r>
            <w:r w:rsidRPr="0041494D">
              <w:rPr>
                <w:sz w:val="23"/>
                <w:szCs w:val="23"/>
              </w:rPr>
              <w:t xml:space="preserve"> 10, </w:t>
            </w:r>
            <w:r>
              <w:rPr>
                <w:sz w:val="23"/>
                <w:szCs w:val="23"/>
                <w:lang w:val="en-US"/>
              </w:rPr>
              <w:t>Windows</w:t>
            </w:r>
            <w:r w:rsidRPr="0041494D">
              <w:rPr>
                <w:sz w:val="23"/>
                <w:szCs w:val="23"/>
              </w:rPr>
              <w:t xml:space="preserve"> 2012,2016 на рівні адміністрування.</w:t>
            </w:r>
          </w:p>
          <w:p w:rsidR="005C028F" w:rsidRPr="0041494D" w:rsidRDefault="005C028F" w:rsidP="005C028F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Знання апаратної частини серверного обладнання та ПК.</w:t>
            </w:r>
          </w:p>
          <w:p w:rsidR="005C028F" w:rsidRDefault="005C028F" w:rsidP="005C028F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Досвід інсталяції ОС, конфігурування сервісів </w:t>
            </w:r>
            <w:r>
              <w:rPr>
                <w:sz w:val="23"/>
                <w:szCs w:val="23"/>
                <w:lang w:val="en-US"/>
              </w:rPr>
              <w:t>Windows</w:t>
            </w:r>
            <w:r w:rsidRPr="00E32BA5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 xml:space="preserve">розуміння </w:t>
            </w:r>
            <w:r>
              <w:rPr>
                <w:sz w:val="23"/>
                <w:szCs w:val="23"/>
                <w:lang w:val="en-US"/>
              </w:rPr>
              <w:t>DHCP</w:t>
            </w:r>
            <w:r w:rsidRPr="00E32BA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DNS</w:t>
            </w:r>
            <w:r w:rsidRPr="00E32BA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GPO</w:t>
            </w:r>
            <w:r w:rsidRPr="00E32BA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Terminal</w:t>
            </w:r>
            <w:r w:rsidRPr="00E32BA5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Servi</w:t>
            </w:r>
            <w:proofErr w:type="spellEnd"/>
            <w:r>
              <w:rPr>
                <w:sz w:val="23"/>
                <w:szCs w:val="23"/>
              </w:rPr>
              <w:t>с</w:t>
            </w:r>
            <w:proofErr w:type="spellStart"/>
            <w:r>
              <w:rPr>
                <w:sz w:val="23"/>
                <w:szCs w:val="23"/>
                <w:lang w:val="en-US"/>
              </w:rPr>
              <w:t>es</w:t>
            </w:r>
            <w:proofErr w:type="spellEnd"/>
            <w:r>
              <w:rPr>
                <w:sz w:val="23"/>
                <w:szCs w:val="23"/>
              </w:rPr>
              <w:t>,</w:t>
            </w:r>
            <w:r w:rsidRPr="00E32B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Active</w:t>
            </w:r>
            <w:r w:rsidRPr="00E32B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Directory</w:t>
            </w:r>
            <w:r w:rsidRPr="00E32BA5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  <w:p w:rsidR="005C028F" w:rsidRDefault="005C028F" w:rsidP="005C028F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32BA5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 xml:space="preserve">Навички роботи з: Міні-АТС </w:t>
            </w:r>
            <w:r>
              <w:rPr>
                <w:sz w:val="23"/>
                <w:szCs w:val="23"/>
                <w:lang w:val="en-US"/>
              </w:rPr>
              <w:t>Panasonic</w:t>
            </w:r>
            <w:r w:rsidRPr="00E32B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KX</w:t>
            </w:r>
            <w:r w:rsidRPr="00E32BA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TDA</w:t>
            </w:r>
            <w:r w:rsidRPr="00E32BA5">
              <w:rPr>
                <w:sz w:val="23"/>
                <w:szCs w:val="23"/>
              </w:rPr>
              <w:t xml:space="preserve"> 100/200, </w:t>
            </w:r>
            <w:proofErr w:type="spellStart"/>
            <w:r>
              <w:rPr>
                <w:sz w:val="23"/>
                <w:szCs w:val="23"/>
                <w:lang w:val="en-US"/>
              </w:rPr>
              <w:t>Microtik</w:t>
            </w:r>
            <w:proofErr w:type="spellEnd"/>
            <w:r w:rsidRPr="00E32BA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системою мережевого сховища даних </w:t>
            </w:r>
            <w:r>
              <w:rPr>
                <w:sz w:val="23"/>
                <w:szCs w:val="23"/>
                <w:lang w:val="en-US"/>
              </w:rPr>
              <w:t>NAS</w:t>
            </w:r>
            <w:r w:rsidRPr="00E32BA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RAID</w:t>
            </w:r>
            <w:r w:rsidRPr="00E32B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масивами.</w:t>
            </w:r>
          </w:p>
          <w:p w:rsidR="005C028F" w:rsidRDefault="005C028F" w:rsidP="005C028F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Навички обслуговування бухгалтерських програм: ІС-ПРО, </w:t>
            </w:r>
            <w:proofErr w:type="spellStart"/>
            <w:r>
              <w:rPr>
                <w:sz w:val="23"/>
                <w:szCs w:val="23"/>
                <w:lang w:val="en-US"/>
              </w:rPr>
              <w:t>MeDoc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6E4140" w:rsidRPr="00023FE1" w:rsidRDefault="005C028F" w:rsidP="005C028F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6) Навички роботи з КП «</w:t>
            </w:r>
            <w:r w:rsidRPr="00157C09">
              <w:rPr>
                <w:sz w:val="23"/>
                <w:szCs w:val="23"/>
              </w:rPr>
              <w:t>Користувач АЦСК ІДД ДФС</w:t>
            </w:r>
            <w:r>
              <w:rPr>
                <w:sz w:val="23"/>
                <w:szCs w:val="23"/>
              </w:rPr>
              <w:t>»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9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28F" w:rsidRPr="005C028F" w:rsidRDefault="005C028F" w:rsidP="005C028F">
            <w:pPr>
              <w:ind w:left="64" w:right="125"/>
              <w:jc w:val="both"/>
              <w:rPr>
                <w:sz w:val="24"/>
                <w:szCs w:val="24"/>
              </w:rPr>
            </w:pPr>
            <w:r w:rsidRPr="005C028F">
              <w:rPr>
                <w:sz w:val="24"/>
                <w:szCs w:val="24"/>
              </w:rPr>
              <w:t>1) Інструкція з діловодства в місцевих та апеляційних судах України, затверджена наказом ДСА України від 20.08.2019 № 814;</w:t>
            </w:r>
          </w:p>
          <w:p w:rsidR="005C028F" w:rsidRPr="005C028F" w:rsidRDefault="009430D1" w:rsidP="005C028F">
            <w:pPr>
              <w:ind w:left="64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5C028F" w:rsidRPr="005C028F">
              <w:rPr>
                <w:sz w:val="24"/>
                <w:szCs w:val="24"/>
              </w:rPr>
              <w:t>Положення про автоматизовану систему документообігу суду, затверджене рішенням Ради суддів України від 26.11.2010 № 30</w:t>
            </w:r>
          </w:p>
          <w:p w:rsidR="005C04FA" w:rsidRPr="000467CC" w:rsidRDefault="005C028F" w:rsidP="005C028F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 w:rsidRPr="005C028F">
              <w:rPr>
                <w:sz w:val="24"/>
                <w:szCs w:val="24"/>
              </w:rPr>
              <w:t>3) Закон України «Про електронні довірчі послуги».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DA435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24"/>
    <w:multiLevelType w:val="hybridMultilevel"/>
    <w:tmpl w:val="6F8C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41AC"/>
    <w:multiLevelType w:val="hybridMultilevel"/>
    <w:tmpl w:val="6000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4F55"/>
    <w:rsid w:val="000560B6"/>
    <w:rsid w:val="0009151B"/>
    <w:rsid w:val="00093D86"/>
    <w:rsid w:val="000B64B7"/>
    <w:rsid w:val="000C68E9"/>
    <w:rsid w:val="000C7C18"/>
    <w:rsid w:val="000D7600"/>
    <w:rsid w:val="000E11B4"/>
    <w:rsid w:val="00100C29"/>
    <w:rsid w:val="00136F14"/>
    <w:rsid w:val="001543F8"/>
    <w:rsid w:val="001633F2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2561C"/>
    <w:rsid w:val="0024492B"/>
    <w:rsid w:val="00270E2C"/>
    <w:rsid w:val="002730B3"/>
    <w:rsid w:val="00287515"/>
    <w:rsid w:val="002C3B05"/>
    <w:rsid w:val="002D503F"/>
    <w:rsid w:val="002E5C95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71FAA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67BEC"/>
    <w:rsid w:val="005708C8"/>
    <w:rsid w:val="005743F0"/>
    <w:rsid w:val="0059311F"/>
    <w:rsid w:val="005A0F9C"/>
    <w:rsid w:val="005C028F"/>
    <w:rsid w:val="005C04FA"/>
    <w:rsid w:val="005E2F52"/>
    <w:rsid w:val="006009CF"/>
    <w:rsid w:val="0060394D"/>
    <w:rsid w:val="00621EBA"/>
    <w:rsid w:val="00635FCA"/>
    <w:rsid w:val="00695B15"/>
    <w:rsid w:val="006B6DE3"/>
    <w:rsid w:val="006E4140"/>
    <w:rsid w:val="006E4E96"/>
    <w:rsid w:val="00724ADC"/>
    <w:rsid w:val="00724EDB"/>
    <w:rsid w:val="007301D4"/>
    <w:rsid w:val="00731E3A"/>
    <w:rsid w:val="007503C4"/>
    <w:rsid w:val="007717D5"/>
    <w:rsid w:val="007C70E8"/>
    <w:rsid w:val="007E159F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30D1"/>
    <w:rsid w:val="00944F62"/>
    <w:rsid w:val="009510A9"/>
    <w:rsid w:val="00955E11"/>
    <w:rsid w:val="0099340B"/>
    <w:rsid w:val="009A32FE"/>
    <w:rsid w:val="009B2D27"/>
    <w:rsid w:val="009B38D3"/>
    <w:rsid w:val="009E0255"/>
    <w:rsid w:val="009E3764"/>
    <w:rsid w:val="009E7249"/>
    <w:rsid w:val="009F100D"/>
    <w:rsid w:val="00A06A98"/>
    <w:rsid w:val="00A408BA"/>
    <w:rsid w:val="00A4487B"/>
    <w:rsid w:val="00A47F61"/>
    <w:rsid w:val="00A51986"/>
    <w:rsid w:val="00A66AAA"/>
    <w:rsid w:val="00A95095"/>
    <w:rsid w:val="00AA614E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CE5756"/>
    <w:rsid w:val="00D02AEF"/>
    <w:rsid w:val="00D03F33"/>
    <w:rsid w:val="00D0432A"/>
    <w:rsid w:val="00D845CB"/>
    <w:rsid w:val="00DA02A6"/>
    <w:rsid w:val="00DA435A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C08C4"/>
    <w:rsid w:val="00EF54A9"/>
    <w:rsid w:val="00F00619"/>
    <w:rsid w:val="00F00C93"/>
    <w:rsid w:val="00F1537F"/>
    <w:rsid w:val="00F15D02"/>
    <w:rsid w:val="00F23B6C"/>
    <w:rsid w:val="00F61B03"/>
    <w:rsid w:val="00F856B1"/>
    <w:rsid w:val="00F93D3B"/>
    <w:rsid w:val="00FA561F"/>
    <w:rsid w:val="00FB5668"/>
    <w:rsid w:val="00FC1AB8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Normal (Web)"/>
    <w:basedOn w:val="a"/>
    <w:rsid w:val="00FB56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dm.su.cour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Працiвник суду</cp:lastModifiedBy>
  <cp:revision>10</cp:revision>
  <cp:lastPrinted>2021-05-13T06:51:00Z</cp:lastPrinted>
  <dcterms:created xsi:type="dcterms:W3CDTF">2021-04-07T10:24:00Z</dcterms:created>
  <dcterms:modified xsi:type="dcterms:W3CDTF">2021-05-13T06:52:00Z</dcterms:modified>
</cp:coreProperties>
</file>